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3" Type="http://schemas.openxmlformats.org/package/2006/relationships/metadata/core-properties" Target="docProps/core.xml"/>
    <Relationship Id="rId4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type="auto" w:w="0"/>
        <w:jc w:val="center"/>
        <w:tblLook w:firstColumn="1" w:firstRow="1" w:lastColumn="0" w:lastRow="0" w:noHBand="0" w:noVBand="1"/>
      </w:tblPr>
      <w:tblGrid>
        <w:gridCol w:w="7852"/>
        <w:gridCol w:w="7852"/>
      </w:tblGrid>
      <w:tr>
        <!-- left column -->
        <w:tc>
          <w:tcPr>
            <w:tcW w:type="dxa" w:w="7852"/>
          </w:tcPr>
          <w:tbl>
            <w:tblPr>
              <!-- <w:tblStyle w:val="a1"/> -->
              <w:jc w:val="center"/>
              <w:tblW w:w="0" w:type="auto"/>
              <w:tblLook w:firstRow="1" w:lastRow="0" w:firstColumn="1" w:lastColumn="0" w:noHBand="0" w:noVBand="1"/>
            </w:tblPr>
            <w:tblGrid>
              <w:gridCol w:w="4700"/>
              <w:gridCol w:w="3141"/>
            </w:tblGrid>
            <!-- OFFER TITLE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 w:line="276" w:lineRule="auto"/>
                  </w:pPr>
                  <w:r>
                    <w:rPr/>
                    <w:t>комната посуточно</w:t>
                  </w:r>
                </w:p>
              </w:tc>
            </w:tr>
            <!-- ADDRESS LIN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40" w:after="40"/>
                  </w:pPr>
                  <w:r>
                    <w:rPr>
                      <w:sz w:val="32"/>
                      <w:szCs w:val="32"/>
                    </w:rPr>
                    <w:t>Санкт-Петербург, район Центральный, Малая Конюшенная ул., 10</w:t>
                  </w:r>
                </w:p>
              </w:tc>
            </w:tr>
            <!-- LANDMARK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2"/>
                      <w:szCs w:val="22"/>
                    </w:rPr>
                    <w:t>Метро: Невский проспект, 6 мин. пешком</w:t>
                  </w:r>
                </w:p>
              </w:tc>
            </w:tr>
            <!-- PRIC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150" w:after="40"/>
                  </w:pPr>
                  <w:r>
                    <w:rPr>
                      <w:b/>
                      <w:bCs/>
                      <w:sz w:val="30"/>
                      <w:szCs w:val="30"/>
                    </w:rPr>
                    <w:t>2 200 ₽</w:t>
                    <w:t xml:space="preserve"> в сутки </w:t>
                  </w:r>
                </w:p>
              </w:tc>
            </w:tr>
            <!-- OFFER CONDITION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0"/>
                      <w:szCs w:val="20"/>
                    </w:rPr>
                    <w:t>без депозита, без предоплаты</w:t>
                  </w:r>
                </w:p>
                <w:p/>
              </w:tc>
            </w:tr>
            <w:tr>
              <!-- OFFER PROPS TABLE -->
              <w:tc>
                <w:tcPr>
                  <w:tcW w:type="dxa" w:w="4700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50"/>
                    <w:gridCol w:w="2350"/>
                  </w:tblGrid>
                  <w:tr>
                    <w:tc>
                      <w:tcPr>
                        <w:tcW w:type="dxa" w:w="4700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Общая информация: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Этаж: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5 / 5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Общая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10.0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комнат: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10.00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Жилая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10.0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кухни: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—</w:t>
                        </w:r>
                      </w:p>
                    </w:tc>
                  </w:tr>
                </w:tbl>
                <w:p/>
              </w:tc>
              <!-- ENABLED STAFF TABLE -->
              <w:tc>
                <w:tcPr>
                  <w:tcW w:type="dxa" w:w="3141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firstRow="1" w:lastRow="0" w:firstColumn="1" w:lastColumn="0" w:noHBand="0" w:noVBand="1"/>
                  </w:tblPr>
                  <w:tblGrid>
                    <w:gridCol w:w="300"/>
                    <w:gridCol w:w="2841"/>
                  </w:tblGrid>
                  <w:tr>
                    <w:tc>
                      <w:tcPr>
                        <w:tcW w:type="dxa" w:w="3141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В квартире:</w:t>
                        </w:r>
                      </w:p>
                    </w:tc>
                  </w:tr>
                  <!-- begin Кухонная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Кухонная мебель</w:t>
                        </w:r>
                      </w:p>
                    </w:tc>
                  </w:tr>
                  <!-- end Кухонная мебель -->
                  <!-- begin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Мебель</w:t>
                        </w:r>
                      </w:p>
                    </w:tc>
                  </w:tr>
                  <!-- end Мебель -->
                  <!-- begin Холодильник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Холодильник</w:t>
                        </w:r>
                      </w:p>
                    </w:tc>
                  </w:tr>
                  <!-- end Холодильник -->
                  <!-- begin Можно с животны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животными</w:t>
                        </w:r>
                      </w:p>
                    </w:tc>
                  </w:tr>
                  <!-- end Можно с животными -->
                  <!-- begin Можно с деть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детьми</w:t>
                        </w:r>
                      </w:p>
                    </w:tc>
                  </w:tr>
                  <!-- end Можно с детьми -->
                  <!-- begin Телевизор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Телевизор</w:t>
                        </w:r>
                      </w:p>
                    </w:tc>
                  </w:tr>
                  <!-- end Телевизор -->
                  <!-- begin Стиральная машина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Стиральная машина</w:t>
                        </w:r>
                      </w:p>
                    </w:tc>
                  </w:tr>
                  <!-- end Стиральная машина -->
                  <!-- begin Балкон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Балкон</w:t>
                        </w:r>
                      </w:p>
                    </w:tc>
                  </w:tr>
                  <!-- end Балкон -->
                  <!-- begin Телефон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Телефон</w:t>
                        </w:r>
                      </w:p>
                    </w:tc>
                  </w:tr>
                  <!-- end Телефон -->
                </w:tbl>
                <w:p/>
              </w:tc>
            </w:tr>
          </w:tbl>
          <w:p/>
        </w:tc>
        <w:tc>
          <w:tcPr>
            <w:tcW w:type="dxa" w:w="7852"/>
          </w:tcPr>
          <w:tbl>
            <w:tblPr>
              <!-- <w:tblStyle w:val="a1"/> -->
              <w:tblW w:w="0" w:type="auto"/>
              <w:jc w:val="center"/>
              <w:tblLook w:firstRow="1" w:lastRow="0" w:firstColumn="1" w:lastColumn="0" w:noHBand="0" w:noVBand="1"/>
            </w:tblPr>
            <w:tblGrid>
              <w:gridCol w:w="7852"/>
            </w:tblGrid>
            <w:tr>
              <w:tc>
                <w:tcPr>
                  <w:tcW w:type="dxa" w:w="7852"/>
                  <w:tcMar>
                    <w:right w:type="dxa" w:w="0"/>
                  </w:tcMar>
                </w:tcPr>
                <w:p>
                  <w:pPr>
                    <w:pStyle w:val="Normal"/>
                    <w:jc w:val="right"/>
                  </w:pPr>
                  <w:r>
                    <w:t>16 мая, 00:40</w:t>
                  </w:r>
                </w:p>
              </w:tc>
            </w:tr>
            <w:tr>
              <w:tc>
                <w:tcPr>
                  <w:tcW w:type="dxa" w:w="7852"/>
                  <w:tcMar>
                    <w:right w:type="dxa" w:w="0"/>
                    <w:jc w:val="center"/>
                  </w:tcMar>
                </w:tcPr>
                <w:p>
                  <w:pPr>
                    <w:jc w:val="center"/>
                  </w:pPr>
                  <w:r>
                    <w:rPr/>
                    <w:drawing>
                      <wp:inline distT="0" distB="0" distL="0" distR="0">
                        <wp:extent cx="4953000" cy="3714750"/>
                        <wp:effectExtent l="0" t="0" r="0" b="0"/>
                        <wp:docPr id="1" name="m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ap"/>
                                <pic:cNvPicPr/>
                              </pic:nvPicPr>
                              <pic:blipFill>
                                <a:blip r:embed="map"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3000" cy="3714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</w:tr>
    </w:tbl>
    <!-- Owner paragraph-->
    <w:p>
      <w:pPr>
        <w:pStyle w:val="Normal"/>
        <w:spacing w:before="40" w:after="240"/>
      </w:pPr>
      <w:r>
        <w:t xml:space="preserve">Представитель: </w:t>
      </w:r>
      <w:r>
        <w:rPr>
          <w:b/>
          <w:bCs/>
          <w:shd w:fill="auto" w:val="clear"/>
        </w:rPr>
        <w:t>Neotel</w:t>
      </w:r>
    </w:p>
    <!-- offer description -->
    <w:p>
      <w:pPr>
        <w:pStyle w:val="Normal"/>
        <w:spacing w:before="0" w:after="0" w:beforeLines="0" w:afterLines="0"/>
      </w:pPr>
      <w:r>
        <w:t>В центре "Золотого треугольника" Санкт-Петербурга, на малой Конюшенной улице, в двух шагах от Невского проспекта, 10 минутах от Дворцовой площади и Эрмитажа. Остановившись у нас, вы буквально окунетесь в атмосферу исторического Петербурга.
Мы расположены в 5 минутах ходьбы от Спаса на Крови. Практически напротив находится Казанский собор. Если пройти 450 м, то можно посетить Михайловский театр и Михайловский сквер. В радиусе 1 км также находится Дворцовая площадь и Исаакиевский собор. Провести досуг можно в ДЛТ и знаменитой Пышечной на Конюшенной, которые расположились в 6 минутах от апартаментов.
Есть все для комфортного проживания.
-безлимитный Wi-Fi
-набор полотенец для каждого гостя
-уборка комнаты (1 раз в неделю. смена белья)
На кухне: плита, микроволновая печь, электрический чайник, кулер с питьевой водой.
Заезд: с 14:00
Выезд: до 12:00
Ранний заезд (до 14:00) и поздний выезд (после 12:00) возможны по предварительному запросу и оплачиваются отдельно по договорённости 
Обратите внимание, стоимость может меняться, в зависимости от сезона и длительности проживания!</w:t>
      </w:r>
    </w:p>
    <w:p>
      <w:pPr>
        <w:pStyle w:val="Normal"/>
        <w:spacing w:before="240" w:after="40"/>
      </w:pPr>
      <w:r>
        <w:t xml:space="preserve">Телефоны: </w:t>
      </w:r>
      <w:r>
        <w:rPr>
          <w:b/>
          <w:bCs/>
        </w:rPr>
        <w:t>+7 911 708-97-67</w:t>
      </w:r>
    </w:p>
    <w:tbl>
      <w:tblPr>
        <w:tblStyle w:val="a1"/>
        <w:tblW w:w="15704" w:type="dxa"/>
        <w:tblLook w:firstRow="1" w:lastRow="0" w:firstColumn="1" w:lastColumn="0" w:noHBand="0" w:noVBand="1"/>
        <w:jc w:val="center"/>
        <w:tblLayout w:type="fixed"/>
      </w:tblPr>
      <w:tblGrid>
        <w:gridCol w:w="7852"/>
        <w:gridCol w:w="7852"/>
      </w:tblGrid>
      <w:tr>
        <w:trPr>
          <w:trHeight w:val="5144" w:hRule="exact"/>
          <w:cantSplit w:val="false"/>
        </w:trPr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806287" cy="3202940"/>
                  <wp:effectExtent l="0" t="0" r="0" b="0"/>
                  <wp:docPr id="1" name="rI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4"/>
                          <pic:cNvPicPr/>
                        </pic:nvPicPr>
                        <pic:blipFill>
                          <a:blip r:embed="rId4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287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806287" cy="3202940"/>
                  <wp:effectExtent l="0" t="0" r="0" b="0"/>
                  <wp:docPr id="1" name="rI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5"/>
                          <pic:cNvPicPr/>
                        </pic:nvPicPr>
                        <pic:blipFill>
                          <a:blip r:embed="rId5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287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144" w:hRule="exact"/>
          <w:cantSplit w:val="false"/>
        </w:trPr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806287" cy="3202940"/>
                  <wp:effectExtent l="0" t="0" r="0" b="0"/>
                  <wp:docPr id="1" name="rI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6"/>
                          <pic:cNvPicPr/>
                        </pic:nvPicPr>
                        <pic:blipFill>
                          <a:blip r:embed="rId6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287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t> </w:t>
            </w:r>
          </w:p>
        </w:tc>
      </w:tr>
    </w:tbl>
    <w:sectPr>
      <!-- Define page preferences; 1 cm = 567 magic points -->
      <w:formProt w:val="0"/>
      <w:cols w:space="720"/>
      <w:docGrid w:linePitch="360"/>
      <w:pgSz w:w="16838" w:h="11906"/>
      <w:headerReference w:type="default" r:id="header"/>
      <w:footerReference w:type="default" r:id="footer"/>
      <w:pgMar w:top="567" w:bottom="567" w:left="567" w:right="567" w:header="57" w:footer="1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bottom w:val="single" w:sz="6" w:space="1" w:color="auto"/>
      </w:pBdr>
      <w:rPr>
        <w:sz w:val="14"/>
        <w:szCs w:val="14"/>
        <w:color w:val="868686"/>
        <w:shd w:fill="auto" w:val="clear"/>
      </w:rPr>
    </w:pPr>
  </w:p>
  <w:p>
    <w:pPr>
      <w:jc w:val="center"/>
      <w:pStyle w:val="Normal"/>
      <w:spacing w:after="20" w:before="20"/>
      <w:rPr>
        <w:sz w:val="16"/>
        <w:szCs w:val="16"/>
        <w:color w:val="868686"/>
      </w:rPr>
    </w:pPr>
    <w:rPr>
      <w:jc w:val="center"/>
      <w:sz w:val="16"/>
      <w:szCs w:val="16"/>
      <w:color w:val="868686"/>
      <w:shd w:fill="auto" w:val="clear"/>
    </w:rPr>
    <w:r>
      <w:t>© 2012 - 2024 ЦИАН. Крупнейшая и самая достоверная база данных по аренде и продаже жилой, коммерческой и загородной недвижимости - www.cian.ru</w:t>
    </w:r>
  </w:p>
</w:ftr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right"/>
    </w:pPr>
    <w:r>
      <w:rPr>
        <w:noProof/>
        <w:lang w:eastAsia="ru-RU"/>
      </w:rPr>
      <w:drawing>
        <wp:inline distT="0" distB="0" distL="0" distR="0">
          <wp:extent cx="1008837" cy="360000"/>
          <wp:effectExtent l="0" t="0" r="1270" b="2540"/>
          <wp:docPr id="1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n-logo-cyrillic-horizontal-small.png"/>
                  <pic:cNvPicPr/>
                </pic:nvPicPr>
                <pic:blipFill>
                  <a:blip r:embed="rId1" cstate="print">
                  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3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16096-39A8-4D59-953C-331E17B0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rmal">
    <w:name w:val="Normal"/>
    <w:pPr>
      <w:widowControl w:val="false"/>
      <w:suppressAutoHyphens w:val="true"/>
      <w:spacing w:before="20" w:after="20"/>
    </w:pPr>
    <w:rPr>
      <w:rFonts w:ascii="Times New Roman" w:hAnsi="Times New Roman" w:eastAsia="SimSun" w:cs=""/>
      <w:color w:val="auto"/>
      <w:sz w:val="24"/>
      <w:szCs w:val="24"/>
      <w:lang w:val="ru-RU" w:eastAsia="en-US" w:bidi="ar-SA"/>
    </w:rPr>
  </w:style>
  <w:style w:type="paragraph" w:styleId="SubHeaders">
    <w:name w:val="SubHeaders"/>
    <w:basedOn w:val="Normal"/>
    <w:Prp>
      <w:spacing w:before="0" w:after="30"/>
    </w:Prp>
    <w:rPr>
      <w:sz w:val="26"/>
      <w:szCs w:val="26"/>
    </w:rPr>
  </w:style>
  <w:style w:type="paragraph" w:styleId="StuffItems">
    <w:name w:val="StuffItems"/>
    <w:basedOn w:val="Normal"/>
    <w:Prp>
      <w:spacing w:before="40" w:after="40"/>
    </w:Prp>
    <w:rPr>
      <w:sz w:val="22"/>
      <w:szCs w:val="22"/>
    </w:rPr>
  </w:style>
  <w:style w:type="paragraph" w:styleId="Header">
    <w:name w:val="header"/>
    <w:basedOn w:val="Normal"/>
    <w:pPr>
      <w:tabs>
        <w:tab w:val="center" w:pos="4677"/>
        <w:tab w:val="right" w:pos="9355"/>
      </w:tabs>
      <w:spacing w:after="0" w:line="240" w:lineRule="auto"/>
    </w:pPr>
  </w:style>
</w:style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fontTable" Target="fontTable.xml"/>
    <Relationship Id="header" Type="http://schemas.openxmlformats.org/officeDocument/2006/relationships/header" Target="header.xml"/>
    <Relationship Id="footer" Type="http://schemas.openxmlformats.org/officeDocument/2006/relationships/footer" Target="footer.xml"/>
    <Relationship Id="logo" Type="http://schemas.openxmlformats.org/officeDocument/2006/relationships/image" Target="media/logo.jpeg"/>
    <Relationship Id="yes" Type="http://schemas.openxmlformats.org/officeDocument/2006/relationships/image" Target="media/yes.png"/>
    <Relationship Id="no" Type="http://schemas.openxmlformats.org/officeDocument/2006/relationships/image" Target="media/no.png"/>
    <Relationship Id="map" Type="http://schemas.openxmlformats.org/officeDocument/2006/relationships/image" Target="media/map.png"/>
    <Relationship Id="rId4" Type="http://schemas.openxmlformats.org/officeDocument/2006/relationships/image" Target="media/image0.jpeg"/>
    <Relationship Id="rId5" Type="http://schemas.openxmlformats.org/officeDocument/2006/relationships/image" Target="media/image1.jpeg"/>
    <Relationship Id="rId6" Type="http://schemas.openxmlformats.org/officeDocument/2006/relationships/image" Target="media/image2.jpeg"/>
</Relationships>
</file>

<file path=word/_rels/header.xml.rels><?xml version="1.0" encoding="UTF-8" standalone="yes"?>
<Relationships xmlns="http://schemas.openxmlformats.org/package/2006/relationships">
    <Relationship Id="rId1"
        Type="http://schemas.openxmlformats.org/officeDocument/2006/relationships/image"
        Target="media/cian-logo-cyrillic-horizontal-small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Office Word</Application>
  <DocSecurity>0</DocSecurity>
  <Company>CIAN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</dc:creator>
  <cp:keywords/>
  <dc:description/>
  <cp:lastModifiedBy>CIAN</cp:lastModifiedBy>
  <cp:revision>1</cp:revision>
  <dcterms:created xsi:type="dcterms:W3CDTF">2013-11-17T10:05:00Z</dcterms:created>
  <dcterms:modified xsi:type="dcterms:W3CDTF">2013-11-17T10:05:00Z</dcterms:modified>
</cp:coreProperties>
</file>