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4-комн.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ЦАО, 2-й Волконский пер., 12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Цветной бульвар, 6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110 000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50%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4 / 5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110.0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Лоджия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Лоджия</w:t>
                        </w:r>
                      </w:p>
                    </w:tc>
                  </w:tr>
                  <!-- end Лоджия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13 мая, 14:32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Тимур Данилян</w:t>
      </w:r>
    </w:p>
    <!-- offer description -->
    <w:p>
      <w:pPr>
        <w:pStyle w:val="Normal"/>
        <w:spacing w:before="0" w:after="0" w:beforeLines="0" w:afterLines="0"/>
      </w:pPr>
      <w:r>
        <w:t>Центр Заезд День День.  Квартира в идеальном состоянии по ремонту все работает, в живую выглядит лучше чем на фото. В аренду предлагается большая 4 комнатная квартира в центре в 5 минут от метро цветной бульвар с качественным и дорогим ремонтом. Парковка наземная во дворе дома входит в стоимость. Рядом в соседнем доме можно арендовать паркинг за доп плату. Быстрый выход на сделку. В аренду предлагается квартира недалеко от метро. Полностью меблирована и укомплектована все необходимой техникой для отличной жизни. Планировка: большая кухня- столовая, гостиная (изолированная комната), большая спальня с лоджией, совмещённый санузел и гостевой санузел, спальня- кабинет, спальня, встроенная гардеробная система в прихожей. Так много места для хранения вещей. Хорошая шумоизоляция, окна во двор. Развитая инфраструктура района и отличная транспортная доступность, рядом есть все что нужно: кафе, магазины, рестораны и фитнес клуб, места для прогулок. Есть видео могу прислать. В квартире уже новый холодильник и при необходимости могут купить телевизоры. Вывоз частично мебели в пределах разумного возможен при необходимости. Дом без лифта. Просмотры для вас в удобное время.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